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559"/>
        <w:gridCol w:w="1417"/>
        <w:gridCol w:w="1843"/>
        <w:gridCol w:w="1559"/>
        <w:gridCol w:w="1726"/>
        <w:gridCol w:w="1676"/>
        <w:gridCol w:w="2458"/>
        <w:gridCol w:w="7"/>
      </w:tblGrid>
      <w:tr w:rsidR="002F7A13" w:rsidTr="002F7A13">
        <w:tc>
          <w:tcPr>
            <w:tcW w:w="1668" w:type="dxa"/>
            <w:vMerge w:val="restart"/>
            <w:vAlign w:val="center"/>
          </w:tcPr>
          <w:p w:rsidR="002F7A13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  <w:r w:rsidRPr="003C0406">
              <w:rPr>
                <w:rFonts w:ascii="Arial" w:hAnsi="Arial" w:cs="Arial"/>
                <w:b/>
                <w:sz w:val="16"/>
                <w:szCs w:val="16"/>
              </w:rPr>
              <w:t xml:space="preserve">Medicamento </w:t>
            </w:r>
          </w:p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 xml:space="preserve">Nome Comercial </w:t>
            </w:r>
          </w:p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Nome genérico</w:t>
            </w:r>
          </w:p>
        </w:tc>
        <w:tc>
          <w:tcPr>
            <w:tcW w:w="1701" w:type="dxa"/>
            <w:vMerge w:val="restart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Tempo Infusão</w:t>
            </w:r>
          </w:p>
        </w:tc>
        <w:tc>
          <w:tcPr>
            <w:tcW w:w="1559" w:type="dxa"/>
            <w:vMerge w:val="restart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Forma Farmacêutica</w:t>
            </w:r>
          </w:p>
        </w:tc>
        <w:tc>
          <w:tcPr>
            <w:tcW w:w="1417" w:type="dxa"/>
            <w:vMerge w:val="restart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Via de Administração</w:t>
            </w:r>
          </w:p>
        </w:tc>
        <w:tc>
          <w:tcPr>
            <w:tcW w:w="1843" w:type="dxa"/>
            <w:vMerge w:val="restart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Diluição Volume Usual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Estabilidade</w:t>
            </w:r>
          </w:p>
        </w:tc>
        <w:tc>
          <w:tcPr>
            <w:tcW w:w="1676" w:type="dxa"/>
            <w:vMerge w:val="restart"/>
            <w:vAlign w:val="center"/>
          </w:tcPr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Observações</w:t>
            </w:r>
          </w:p>
        </w:tc>
        <w:tc>
          <w:tcPr>
            <w:tcW w:w="2465" w:type="dxa"/>
            <w:gridSpan w:val="2"/>
            <w:vMerge w:val="restart"/>
            <w:vAlign w:val="center"/>
          </w:tcPr>
          <w:p w:rsidR="002F7A13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 xml:space="preserve">Medicamento </w:t>
            </w:r>
          </w:p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 xml:space="preserve">Nome Comercial </w:t>
            </w:r>
          </w:p>
          <w:p w:rsidR="002F7A13" w:rsidRPr="003C0406" w:rsidRDefault="002F7A13" w:rsidP="00463A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Nome genérico</w:t>
            </w:r>
          </w:p>
        </w:tc>
      </w:tr>
      <w:tr w:rsidR="002F7A13" w:rsidTr="002F7A13">
        <w:tc>
          <w:tcPr>
            <w:tcW w:w="1668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Medicamento diluído em bolsa</w:t>
            </w:r>
          </w:p>
        </w:tc>
        <w:tc>
          <w:tcPr>
            <w:tcW w:w="1726" w:type="dxa"/>
            <w:tcBorders>
              <w:left w:val="single" w:sz="4" w:space="0" w:color="auto"/>
            </w:tcBorders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0406">
              <w:rPr>
                <w:rFonts w:ascii="Arial" w:hAnsi="Arial" w:cs="Arial"/>
                <w:b/>
                <w:sz w:val="16"/>
                <w:szCs w:val="16"/>
              </w:rPr>
              <w:t>Sobra na embalagem original</w:t>
            </w:r>
          </w:p>
        </w:tc>
        <w:tc>
          <w:tcPr>
            <w:tcW w:w="1676" w:type="dxa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65" w:type="dxa"/>
            <w:gridSpan w:val="2"/>
            <w:vMerge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526A">
              <w:rPr>
                <w:rFonts w:ascii="Arial" w:hAnsi="Arial" w:cs="Arial"/>
                <w:sz w:val="16"/>
                <w:szCs w:val="16"/>
                <w:lang w:val="en-US"/>
              </w:rPr>
              <w:t>Actilyse RTPA 50mg Alteplase 50mg 50mL</w:t>
            </w:r>
          </w:p>
        </w:tc>
        <w:tc>
          <w:tcPr>
            <w:tcW w:w="1701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Bolus - 1 a 2 min IV - 3 h *A solução obtida após reconstituição poderá se rediluída em SF 0,9% até uma proporção de 1:5</w:t>
            </w:r>
          </w:p>
        </w:tc>
        <w:tc>
          <w:tcPr>
            <w:tcW w:w="1559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Pó liófilo estéril para solução injetável</w:t>
            </w:r>
          </w:p>
        </w:tc>
        <w:tc>
          <w:tcPr>
            <w:tcW w:w="1417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IV Infusão Bolus - Sem diluição (10% da dose total) por 1 a 2 min. Após 50mg/1h e 40mg/2h</w:t>
            </w:r>
          </w:p>
        </w:tc>
        <w:tc>
          <w:tcPr>
            <w:tcW w:w="1843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50mg/50mL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TA: 8h</w:t>
            </w:r>
          </w:p>
        </w:tc>
        <w:tc>
          <w:tcPr>
            <w:tcW w:w="1676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TA: 8h Refrigeração: 24h (Soro fisiológico)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*A reconstituição deve ser na proporção de 1mg/1ml de diluente. * Não utilizar SG 5% para diluição adicional. *Não agitar *Não aplicar via IM. *Proteger da luz.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Adrenalina 1mg/mL</w:t>
            </w:r>
          </w:p>
        </w:tc>
        <w:tc>
          <w:tcPr>
            <w:tcW w:w="1701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1mL/min</w:t>
            </w:r>
          </w:p>
        </w:tc>
        <w:tc>
          <w:tcPr>
            <w:tcW w:w="1559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24 horas TA</w:t>
            </w:r>
          </w:p>
        </w:tc>
        <w:tc>
          <w:tcPr>
            <w:tcW w:w="1676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526A">
              <w:rPr>
                <w:rFonts w:ascii="Arial" w:hAnsi="Arial" w:cs="Arial"/>
                <w:sz w:val="16"/>
                <w:szCs w:val="16"/>
              </w:rPr>
              <w:t>*Infusão contínua usar equipo fotossensível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 xml:space="preserve">Akineton 5mg/mL </w:t>
            </w:r>
          </w:p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(Biperideno)</w:t>
            </w:r>
          </w:p>
        </w:tc>
        <w:tc>
          <w:tcPr>
            <w:tcW w:w="1701" w:type="dxa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3 minutos</w:t>
            </w:r>
          </w:p>
        </w:tc>
        <w:tc>
          <w:tcPr>
            <w:tcW w:w="1559" w:type="dxa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Bolus, IM</w:t>
            </w:r>
          </w:p>
        </w:tc>
        <w:tc>
          <w:tcPr>
            <w:tcW w:w="1843" w:type="dxa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406">
              <w:rPr>
                <w:rFonts w:ascii="Arial" w:hAnsi="Arial" w:cs="Arial"/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3C040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Albumina humana</w:t>
            </w:r>
          </w:p>
        </w:tc>
        <w:tc>
          <w:tcPr>
            <w:tcW w:w="1701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1 mL/min</w:t>
            </w:r>
          </w:p>
        </w:tc>
        <w:tc>
          <w:tcPr>
            <w:tcW w:w="1559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Em geral sem diluição, caso necessário, diluir em 50 a 500mL de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4 horas TA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57C93">
              <w:rPr>
                <w:rFonts w:ascii="Arial" w:hAnsi="Arial" w:cs="Arial"/>
                <w:sz w:val="16"/>
                <w:szCs w:val="16"/>
              </w:rPr>
              <w:t>*Não diluir em água destilada * Velocidade de infusão não deve exceder 30mL/min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C02">
              <w:rPr>
                <w:rFonts w:ascii="Arial" w:hAnsi="Arial" w:cs="Arial"/>
                <w:sz w:val="16"/>
                <w:szCs w:val="16"/>
              </w:rPr>
              <w:t>Amicacina 500mg/2mL</w:t>
            </w:r>
          </w:p>
        </w:tc>
        <w:tc>
          <w:tcPr>
            <w:tcW w:w="1701" w:type="dxa"/>
            <w:vAlign w:val="center"/>
          </w:tcPr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C02">
              <w:rPr>
                <w:rFonts w:ascii="Arial" w:hAnsi="Arial" w:cs="Arial"/>
                <w:sz w:val="16"/>
                <w:szCs w:val="16"/>
              </w:rPr>
              <w:t>30 - 60 min</w:t>
            </w:r>
          </w:p>
        </w:tc>
        <w:tc>
          <w:tcPr>
            <w:tcW w:w="1559" w:type="dxa"/>
            <w:vAlign w:val="center"/>
          </w:tcPr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C02">
              <w:rPr>
                <w:rFonts w:ascii="Arial" w:hAnsi="Arial" w:cs="Arial"/>
                <w:sz w:val="16"/>
                <w:szCs w:val="16"/>
              </w:rPr>
              <w:t>Solução injetável</w:t>
            </w:r>
          </w:p>
        </w:tc>
        <w:tc>
          <w:tcPr>
            <w:tcW w:w="1417" w:type="dxa"/>
            <w:vAlign w:val="center"/>
          </w:tcPr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C02">
              <w:rPr>
                <w:rFonts w:ascii="Arial" w:hAnsi="Arial" w:cs="Arial"/>
                <w:sz w:val="16"/>
                <w:szCs w:val="16"/>
              </w:rPr>
              <w:t>IV Infusão 500mg/100mL SF 0,9%.</w:t>
            </w:r>
          </w:p>
        </w:tc>
        <w:tc>
          <w:tcPr>
            <w:tcW w:w="1843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100mL SF 0,9% ou SG 5%</w:t>
            </w:r>
          </w:p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8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* Administrar com intervalo de 1h com Penicilinas. * Administrar com intervalo de 1h com Cefalosporinas.</w:t>
            </w:r>
          </w:p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bCs/>
                <w:sz w:val="16"/>
                <w:szCs w:val="16"/>
              </w:rPr>
              <w:t>Aminofilina 0,24g 10mL</w:t>
            </w:r>
          </w:p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Não exceder 25mg/min Aprox. 30 min</w:t>
            </w:r>
          </w:p>
        </w:tc>
        <w:tc>
          <w:tcPr>
            <w:tcW w:w="1559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Solução injetável</w:t>
            </w:r>
          </w:p>
        </w:tc>
        <w:tc>
          <w:tcPr>
            <w:tcW w:w="1417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IV (bem lento= 3,5min) IV Infusão 240mg/ 100mL SF 0,9% ou SG 5%</w:t>
            </w:r>
          </w:p>
        </w:tc>
        <w:tc>
          <w:tcPr>
            <w:tcW w:w="1843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100mL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* Não refrigerar por possível cristalização *também pode ser diluida em SG5% 100mL *Não administrar via IM.</w:t>
            </w:r>
          </w:p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bCs/>
                <w:sz w:val="16"/>
                <w:szCs w:val="16"/>
              </w:rPr>
              <w:t>Ampicilina 500mg Ampicilina 1g (Binotal)</w:t>
            </w:r>
          </w:p>
          <w:p w:rsidR="002F7A13" w:rsidRPr="00157C9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IM: lento IV Bolus:3 min IV Infusão: Lento - 30 min</w:t>
            </w:r>
          </w:p>
        </w:tc>
        <w:tc>
          <w:tcPr>
            <w:tcW w:w="1559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Pó para solução injetável</w:t>
            </w:r>
          </w:p>
        </w:tc>
        <w:tc>
          <w:tcPr>
            <w:tcW w:w="1417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IM: Sem diluição IV Bolus: 5-10mL AD IV Infusão: 50mL SF 0,9%</w:t>
            </w:r>
          </w:p>
          <w:p w:rsidR="002F7A13" w:rsidRPr="00EC3C02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10mg/mL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Refrigeração 24h - até 30mg/mL</w:t>
            </w:r>
          </w:p>
        </w:tc>
        <w:tc>
          <w:tcPr>
            <w:tcW w:w="1676" w:type="dxa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Refrigeração 8h *Já reconstituído com AD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C3C0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C3C02">
              <w:rPr>
                <w:sz w:val="16"/>
                <w:szCs w:val="16"/>
              </w:rPr>
              <w:t>*Não misturar com outras drogas *Administrar com intervalo de 1-2h com aminoglicosídeos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Amplictil 25mg/5mL (Clorpromazina)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Bolus: 3-5 minutos IV Infusão: 30 minutos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Solução injetável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IM IV Bolus IV Infusão: diluir em 15mL SF 0,9%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25mg/ 15mL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TA: 24h * Protegido da luz.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* Pode ser administrado sem diluir em caso de crise. * Não misturar na mesma seringa com Fenobarbital. * Fotossensível em infusão contínua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Ancoron 150mg/3mL (Amiodarona)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Bolus: ACM IV Infusão: 20 min-2 h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Solução injetável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Bolus - ACM IV Infusão.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Bolus: ACM IV Infusão : 150mg-300mg/250mL SG 5%. * No máximo 5mg/Kg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 xml:space="preserve">* Não pode ser diluído em Bolsa. * Mais estável quando diluído em SG 5%. * ≥ 2mg/mL administrar via cateter central. * Utilizar em equipo de baixa </w:t>
            </w:r>
            <w:r w:rsidRPr="00EE7F16">
              <w:rPr>
                <w:sz w:val="16"/>
                <w:szCs w:val="16"/>
              </w:rPr>
              <w:lastRenderedPageBreak/>
              <w:t>adsorção.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lastRenderedPageBreak/>
              <w:t>Antak 50mg/2mL (Ranitidina)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Bolus: lento - acima de 5 min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IM IV Bolus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50mg/20mL AD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TA: 48h Refrigeração: 7 dias (se dulído em SF 0,9%).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* Produto transparente a amarelado. *Não administrar sem diluir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Atropina 0,25mg/mL e 0,5 mg/mL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Bolus, IV, IM, Intratecal, Subcutânea, Oftálmica e Endotraqueal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-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72 horas TA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Bactrim</w:t>
            </w:r>
          </w:p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(Bac-Sulfitrin) IV 5mL Sulfametoxazol 400mg +Trimetroprima 80mg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60 - 90 min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100mL SG 5% ou SF 0,9% (para cada ampola). *Diluição mínima de 75mL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*Protegido da luz TA: 5mL/125mL SG: estável por 6h 5mL/100mL SG: estável por 4h 5mL/75mL SG: estável por 2h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*Cálculo pela Trimetroprima. *Não refrigerar. *Não aplivar IV direto (Bolus). *Diluir preferencialmente em SG 5%. *Diluição mínima = 1ampola/75mL solução.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bCs/>
                <w:sz w:val="16"/>
                <w:szCs w:val="16"/>
              </w:rPr>
              <w:t>Benzetacil 1.200.000 UI (Benzilpenicilina Benzatina)</w:t>
            </w:r>
          </w:p>
        </w:tc>
        <w:tc>
          <w:tcPr>
            <w:tcW w:w="1701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Lento - acima de 3 minutos</w:t>
            </w:r>
          </w:p>
        </w:tc>
        <w:tc>
          <w:tcPr>
            <w:tcW w:w="1559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Já vem diluído e/ou diluente próprio</w:t>
            </w:r>
          </w:p>
        </w:tc>
        <w:tc>
          <w:tcPr>
            <w:tcW w:w="1417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IM</w:t>
            </w:r>
          </w:p>
        </w:tc>
        <w:tc>
          <w:tcPr>
            <w:tcW w:w="1843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Não diluir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Refrigeração: 7 dias</w:t>
            </w:r>
          </w:p>
        </w:tc>
        <w:tc>
          <w:tcPr>
            <w:tcW w:w="1676" w:type="dxa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-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E7F16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E7F16">
              <w:rPr>
                <w:sz w:val="16"/>
                <w:szCs w:val="16"/>
              </w:rPr>
              <w:t>* Somente para uso IM profundo, no músculo médio-lateral da coxa.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bCs/>
                <w:sz w:val="16"/>
                <w:szCs w:val="16"/>
              </w:rPr>
              <w:t>Buscopan 20mg/1mL (Escopolamina)</w:t>
            </w:r>
          </w:p>
        </w:tc>
        <w:tc>
          <w:tcPr>
            <w:tcW w:w="1701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Lento - acima de 3 minutos</w:t>
            </w:r>
          </w:p>
        </w:tc>
        <w:tc>
          <w:tcPr>
            <w:tcW w:w="1559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IM EV SC</w:t>
            </w:r>
          </w:p>
        </w:tc>
        <w:tc>
          <w:tcPr>
            <w:tcW w:w="1843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2Omg/20mL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Usar logo após o preparo.</w:t>
            </w:r>
          </w:p>
        </w:tc>
        <w:tc>
          <w:tcPr>
            <w:tcW w:w="1676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bCs/>
                <w:sz w:val="16"/>
                <w:szCs w:val="16"/>
              </w:rPr>
              <w:t>Buscopan 20mg/1mL (Escopolamina)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bCs/>
                <w:sz w:val="16"/>
                <w:szCs w:val="16"/>
              </w:rPr>
              <w:t>Buscopan Composto 5mL (Dipirona Sódica+ Escopolamina)</w:t>
            </w:r>
          </w:p>
        </w:tc>
        <w:tc>
          <w:tcPr>
            <w:tcW w:w="1701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Mínimo de 5 minutos.</w:t>
            </w:r>
          </w:p>
        </w:tc>
        <w:tc>
          <w:tcPr>
            <w:tcW w:w="1559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EV IM</w:t>
            </w:r>
          </w:p>
        </w:tc>
        <w:tc>
          <w:tcPr>
            <w:tcW w:w="1843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5mL/20mL de AD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E05D7C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05D7C">
              <w:rPr>
                <w:sz w:val="16"/>
                <w:szCs w:val="16"/>
              </w:rPr>
              <w:t>* A administração IV deve correr com o paciente deitado.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Cedilanide (Deslanol) 0,2mg/mL 2mL (Deslanosideo)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1 min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Já vem diluído.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IM IV Bolus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sem diluir ou 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*Dosagem máxima: a dose de 2 mg/dia não deve ser excedida.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Cefepime 1g Cefepime 2g (Cefepime)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IM IV direto : 3 min IV Infusão: 30 min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9822BA">
              <w:rPr>
                <w:sz w:val="16"/>
                <w:szCs w:val="16"/>
                <w:lang w:val="en-US"/>
              </w:rPr>
              <w:t>*1g: 10 mL AD *2g: 10 mL AD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Direto (somente para 1g) IV Infusão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direto :1g/10mL AD IV Infusão:1g/50mL SF0,9% - 2g/100mL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TA:48h Refrigeração: 7 dias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Refrigeração:48h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 Nefrotoxicidade: não administrar junto com aminoglicosídeos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Cipro 200mg/100mL Cipro 400mg/200mL (Ciprofloxacino)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Lento por 1 h, não passar da concentração final de 2mg/mL.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Já vem diluído. Pronto para Uso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Temperatura entre 5 e 25°C, proteger da luz, evitar o congelamento. Soluções 0,5-2mg/mL são estáveis por até 14 dias.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Refrigeração: 24h (Sobras na bolsa)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 Não é necessário equipo foto na infusão. * Quando necessário, rediluir em AD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Clavulin 1g (Amoxicilina+ Clavulanato 1g)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Bolus: 3-4 min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1g/20mL AD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Bolus.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IV Bolus: 1g/20mL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Diluído na hora do uso.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 Não possui estabilidade para ser utilizado no próximo horário. * Incompatível com SG 5%. * Incompatível com Bicarbonato de Sódio 8,4% inj. * Administrar com intervalo de 1-2h de aminoglicosídeos.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Complexo B</w:t>
            </w:r>
          </w:p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lastRenderedPageBreak/>
              <w:t>(Hyplex B)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lastRenderedPageBreak/>
              <w:t>IV direto: até 5 min</w:t>
            </w:r>
          </w:p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lastRenderedPageBreak/>
              <w:t>IV intermitente: 30 min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lastRenderedPageBreak/>
              <w:t xml:space="preserve">Já vem em </w:t>
            </w:r>
            <w:r w:rsidRPr="009822BA">
              <w:rPr>
                <w:sz w:val="16"/>
                <w:szCs w:val="16"/>
              </w:rPr>
              <w:lastRenderedPageBreak/>
              <w:t>solução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lastRenderedPageBreak/>
              <w:t>IV, IM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 xml:space="preserve">500mL ou 1000mL SF </w:t>
            </w:r>
            <w:r w:rsidRPr="009822BA">
              <w:rPr>
                <w:sz w:val="16"/>
                <w:szCs w:val="16"/>
              </w:rPr>
              <w:lastRenderedPageBreak/>
              <w:t>0,9% ou SG 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lastRenderedPageBreak/>
              <w:t>24 horas TA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 xml:space="preserve">*Em alguns pacientes a </w:t>
            </w:r>
            <w:r w:rsidRPr="009822BA">
              <w:rPr>
                <w:sz w:val="16"/>
                <w:szCs w:val="16"/>
              </w:rPr>
              <w:lastRenderedPageBreak/>
              <w:t xml:space="preserve">administração de </w:t>
            </w:r>
            <w:r w:rsidRPr="009822BA">
              <w:rPr>
                <w:bCs/>
                <w:sz w:val="16"/>
                <w:szCs w:val="16"/>
              </w:rPr>
              <w:t xml:space="preserve">Hyplex B® </w:t>
            </w:r>
            <w:r w:rsidRPr="009822BA">
              <w:rPr>
                <w:sz w:val="16"/>
                <w:szCs w:val="16"/>
              </w:rPr>
              <w:t>pode</w:t>
            </w:r>
          </w:p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causar dor e irritação no local da aplicação da injeção.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9822BA">
              <w:rPr>
                <w:bCs/>
                <w:sz w:val="16"/>
                <w:szCs w:val="16"/>
                <w:lang w:val="en-US"/>
              </w:rPr>
              <w:lastRenderedPageBreak/>
              <w:t>Decadron 2mg/mL Decadron 4mg/mL (Dexametasona)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IM IV bolus: 5-10min IV Infusão IV Articular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50-100mL SF 0.9% ou SG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TA: 24h Refrigerado:48 h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TA: 24h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 Subcutâneo: Não recomentado pelo risco de atrofia, abcesso e dor local. *EV direto: pode causar prurido e calorões.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Default="002F7A13" w:rsidP="002F7A13">
            <w:pPr>
              <w:pStyle w:val="Default"/>
              <w:jc w:val="center"/>
              <w:rPr>
                <w:bCs/>
                <w:sz w:val="16"/>
                <w:szCs w:val="16"/>
              </w:rPr>
            </w:pPr>
          </w:p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bCs/>
                <w:sz w:val="16"/>
                <w:szCs w:val="16"/>
              </w:rPr>
              <w:t>Despacelina 400.000UI Penicilina G Potássica+Procaína</w:t>
            </w:r>
          </w:p>
        </w:tc>
        <w:tc>
          <w:tcPr>
            <w:tcW w:w="1701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Lento</w:t>
            </w:r>
          </w:p>
        </w:tc>
        <w:tc>
          <w:tcPr>
            <w:tcW w:w="1559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Diluente próprio</w:t>
            </w:r>
          </w:p>
        </w:tc>
        <w:tc>
          <w:tcPr>
            <w:tcW w:w="1417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IM profunda</w:t>
            </w:r>
          </w:p>
        </w:tc>
        <w:tc>
          <w:tcPr>
            <w:tcW w:w="1843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Uso IM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X</w:t>
            </w:r>
          </w:p>
        </w:tc>
        <w:tc>
          <w:tcPr>
            <w:tcW w:w="1676" w:type="dxa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TA: 24h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9822B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822BA">
              <w:rPr>
                <w:sz w:val="16"/>
                <w:szCs w:val="16"/>
              </w:rPr>
              <w:t>* Somente uso IM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bCs/>
                <w:sz w:val="16"/>
                <w:szCs w:val="16"/>
              </w:rPr>
              <w:t>Dimorf (Morfina Sulfato 0,1mg/mL)</w:t>
            </w:r>
          </w:p>
        </w:tc>
        <w:tc>
          <w:tcPr>
            <w:tcW w:w="1701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IM</w:t>
            </w:r>
          </w:p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IV</w:t>
            </w:r>
          </w:p>
        </w:tc>
        <w:tc>
          <w:tcPr>
            <w:tcW w:w="1843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10mL AD / SF 0.9%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TA: 36 h</w:t>
            </w:r>
          </w:p>
        </w:tc>
        <w:tc>
          <w:tcPr>
            <w:tcW w:w="1676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TA: 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*</w:t>
            </w:r>
            <w:r w:rsidRPr="00A76FFB">
              <w:rPr>
                <w:sz w:val="13"/>
                <w:szCs w:val="13"/>
              </w:rPr>
              <w:t>Antidoto:Naloxona *Armazenar a seringa junto aos medicamentos controlados. Registrar data e hora da abertura *Solução amarelada escura a marrom significa perda de potência (degradação) *Solução bastante estavel em pH ácido (até 4). a degradação aumenta próximo a pH neutro e básico. Há registros de estabilidade de até 69 dias a TA.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bCs/>
                <w:sz w:val="16"/>
                <w:szCs w:val="16"/>
              </w:rPr>
              <w:t>Dimorf (Morfina Sulfato) 10mg/mL</w:t>
            </w:r>
          </w:p>
        </w:tc>
        <w:tc>
          <w:tcPr>
            <w:tcW w:w="1701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SC SC infusão IV Direto IV Infusão IM Epidural Intratecal</w:t>
            </w:r>
          </w:p>
        </w:tc>
        <w:tc>
          <w:tcPr>
            <w:tcW w:w="1843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TA:36 h</w:t>
            </w:r>
          </w:p>
        </w:tc>
        <w:tc>
          <w:tcPr>
            <w:tcW w:w="1676" w:type="dxa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A76FFB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A76FFB">
              <w:rPr>
                <w:sz w:val="11"/>
                <w:szCs w:val="11"/>
              </w:rPr>
              <w:t>*Antidoto:Naloxona *Armazenar a seringa junto aos medicamentos controlados. Registrar data e hora da abertura *solução amarelada escura a marrom significa perda de potência (degradação)</w:t>
            </w:r>
          </w:p>
          <w:p w:rsidR="002F7A13" w:rsidRPr="00A76FF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A76FFB">
              <w:rPr>
                <w:sz w:val="11"/>
                <w:szCs w:val="11"/>
              </w:rPr>
              <w:t>*solução bastante estavel em pH ácido (até 4). a degradação aumenta próximo a pH neutro e básico. Há registros de estabilidade de até 69 dias a TA.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bCs/>
                <w:sz w:val="16"/>
                <w:szCs w:val="16"/>
              </w:rPr>
              <w:t>Dobutrex 250mg/20mL (Dobutamina)</w:t>
            </w:r>
          </w:p>
        </w:tc>
        <w:tc>
          <w:tcPr>
            <w:tcW w:w="1701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250mg/500mL SG 5% ou 500mg/500mL SG 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TA:6h Refrigeração:48h</w:t>
            </w:r>
          </w:p>
        </w:tc>
        <w:tc>
          <w:tcPr>
            <w:tcW w:w="1676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B361EE">
              <w:rPr>
                <w:sz w:val="11"/>
                <w:szCs w:val="11"/>
              </w:rPr>
              <w:t>*Imcompatível com furosemida. *A alteração da cor da solução para rosa indica discreta oxidação mas não perda importante da potência. *A administração requer o uso de uma bomba de infusão.</w:t>
            </w:r>
          </w:p>
          <w:p w:rsidR="002F7A13" w:rsidRPr="00B361EE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B361EE">
              <w:rPr>
                <w:sz w:val="11"/>
                <w:szCs w:val="11"/>
              </w:rPr>
              <w:t>*Não administrar através do mesmo cateter I.V. que heparina, succinato sódico de hidrocortisoa, cefazolina ou penicilina.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bCs/>
                <w:sz w:val="16"/>
                <w:szCs w:val="16"/>
              </w:rPr>
              <w:t>Dolantina 50mg/mL (Petidina)</w:t>
            </w:r>
          </w:p>
        </w:tc>
        <w:tc>
          <w:tcPr>
            <w:tcW w:w="1701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3-5 min. 30 min.</w:t>
            </w:r>
          </w:p>
        </w:tc>
        <w:tc>
          <w:tcPr>
            <w:tcW w:w="1559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IM IV Direto IV Infusão SC</w:t>
            </w:r>
          </w:p>
        </w:tc>
        <w:tc>
          <w:tcPr>
            <w:tcW w:w="1843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B361EE">
              <w:rPr>
                <w:sz w:val="16"/>
                <w:szCs w:val="16"/>
                <w:lang w:val="en-US"/>
              </w:rPr>
              <w:t>100mg/8mL AD 100mL SF 0.9%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TA:6h (em seringa)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B361EE">
              <w:rPr>
                <w:sz w:val="11"/>
                <w:szCs w:val="11"/>
              </w:rPr>
              <w:t>*Armazenar a seringa junto aos medicamentos controlados. Registrar data e hora da abertura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bCs/>
                <w:sz w:val="16"/>
                <w:szCs w:val="16"/>
              </w:rPr>
              <w:t>Dopamina 5mg/mL 10mL</w:t>
            </w:r>
          </w:p>
        </w:tc>
        <w:tc>
          <w:tcPr>
            <w:tcW w:w="1701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5 ampolas em 250mL de SG 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B361EE">
              <w:rPr>
                <w:sz w:val="11"/>
                <w:szCs w:val="11"/>
              </w:rPr>
              <w:t>*Proteger contra a luz; soluções que apresentam coloração mais escura que o amarelo-claro não devem ser utilizadas.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bCs/>
                <w:sz w:val="16"/>
                <w:szCs w:val="16"/>
              </w:rPr>
              <w:t>Dormonid 15mg/3mL (Midazolam)</w:t>
            </w:r>
          </w:p>
        </w:tc>
        <w:tc>
          <w:tcPr>
            <w:tcW w:w="1701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Lento ACM</w:t>
            </w:r>
          </w:p>
        </w:tc>
        <w:tc>
          <w:tcPr>
            <w:tcW w:w="1559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IM IV Direto IV Infusão</w:t>
            </w:r>
          </w:p>
        </w:tc>
        <w:tc>
          <w:tcPr>
            <w:tcW w:w="1843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IM e IV Direto: Sem Diluição IV Infusão: ACM (concentração máx: 0.5mg/mL)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TA:24h (em SF 0,9% e SG5%) e 4h (Ringer lactato)</w:t>
            </w:r>
          </w:p>
        </w:tc>
        <w:tc>
          <w:tcPr>
            <w:tcW w:w="1676" w:type="dxa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TA:24h (em seringa)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*Não é fotossensível em infusão contínua. *Armazenar a seringa junto aos medicamentos controlados. Registrar data e hora da abertura</w:t>
            </w:r>
          </w:p>
          <w:p w:rsidR="002F7A13" w:rsidRPr="00B361EE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B361EE">
              <w:rPr>
                <w:sz w:val="16"/>
                <w:szCs w:val="16"/>
              </w:rPr>
              <w:t>* Não é compatível com a Heparina (Liquemine)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bCs/>
                <w:sz w:val="16"/>
                <w:szCs w:val="16"/>
              </w:rPr>
              <w:lastRenderedPageBreak/>
              <w:t xml:space="preserve">Dramin B6 IV 10mL (Dimenidrato+Piridoxina </w:t>
            </w:r>
          </w:p>
          <w:p w:rsidR="002F7A13" w:rsidRPr="007C521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1 ampola/100mL SF 0.9%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* Há apresentações diferentes para uso IM e IV. NÃO ADMINISTRAR IV BOLUS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7C521A">
              <w:rPr>
                <w:bCs/>
                <w:sz w:val="16"/>
                <w:szCs w:val="16"/>
                <w:lang w:val="en-US"/>
              </w:rPr>
              <w:t>Fenergan 25mg/mL 2mL</w:t>
            </w:r>
          </w:p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7C521A">
              <w:rPr>
                <w:bCs/>
                <w:sz w:val="16"/>
                <w:szCs w:val="16"/>
                <w:lang w:val="en-US"/>
              </w:rPr>
              <w:t>(Prometazina)</w:t>
            </w:r>
          </w:p>
        </w:tc>
        <w:tc>
          <w:tcPr>
            <w:tcW w:w="1701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Lento (15-30 min)</w:t>
            </w:r>
          </w:p>
        </w:tc>
        <w:tc>
          <w:tcPr>
            <w:tcW w:w="1559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IV IV Infusão IM</w:t>
            </w:r>
          </w:p>
        </w:tc>
        <w:tc>
          <w:tcPr>
            <w:tcW w:w="1843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IV Direto IV Infusão: 50mg/50mL SF 0.9% ou SG 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7C521A">
              <w:rPr>
                <w:sz w:val="11"/>
                <w:szCs w:val="11"/>
              </w:rPr>
              <w:t>*Não exceder taxa de infusão de 25mg/min. *pela possibilidade de hipotensão ortostática a via IV não é a preferida *se injetada em scalp heparinizado, pode formar precipitado. Logo, lavar a via com SF 0,9% antes e depois da administração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bCs/>
                <w:sz w:val="16"/>
                <w:szCs w:val="16"/>
              </w:rPr>
              <w:t>Fenocris 100mg/mL 2mL (Fenobarbital sódico)</w:t>
            </w:r>
          </w:p>
        </w:tc>
        <w:tc>
          <w:tcPr>
            <w:tcW w:w="1701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IM e IV direto: 3min. IV Infusão: Lento</w:t>
            </w:r>
          </w:p>
        </w:tc>
        <w:tc>
          <w:tcPr>
            <w:tcW w:w="1559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IM IV Bolus lento IV Infusão</w:t>
            </w:r>
          </w:p>
        </w:tc>
        <w:tc>
          <w:tcPr>
            <w:tcW w:w="1843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200mg/100mL SF 0.9% (concentração máx. 10mg/mL)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7C521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7C521A">
              <w:rPr>
                <w:sz w:val="16"/>
                <w:szCs w:val="16"/>
              </w:rPr>
              <w:t>*Em pediatria: 2ml em 98ml SF 0,9%(conc. Final: 2mg/ml).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bCs/>
                <w:sz w:val="16"/>
                <w:szCs w:val="16"/>
              </w:rPr>
              <w:t>Flagyl 500mg/100mL (Metronidazol)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30 min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Jà vem em solução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Infusão (Pronto para Uso)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X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TA:24h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* Proteger da Luz natural direta.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Default="002F7A13" w:rsidP="002F7A13">
            <w:pPr>
              <w:pStyle w:val="Default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Fortaz 1g</w:t>
            </w:r>
          </w:p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bCs/>
                <w:sz w:val="16"/>
                <w:szCs w:val="16"/>
              </w:rPr>
              <w:t>(Ceftazidima)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IM e IV direto: 3min IV Infusão:30 min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1g/10mL AD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IM IV Direto IV Infusão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direto: 1g/10mL AD IV Infusão: 1g/50mL SF 0.9%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 12h Refrigeração:24h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*Não adm com aminoglicosídeos e vancomicina:Nefrotoxicidade. *A cor da solução pode acentuar-se com o decorrer do período de conservação.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bCs/>
                <w:sz w:val="16"/>
                <w:szCs w:val="16"/>
              </w:rPr>
              <w:t>Garamicina 120mg/1,5mL Garamicina 80mg/2mL Garamicina 60mg/1,5mL Garamicina 40mg/1mL Garamicina 20mg/1mL (Gentamicina)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30min - 2h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IM IV Infusão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10-40mg/50mL SF 0.9% 60-80mg/100mL SF 0.9% 120mg/125mL SF 0.9% 240mg/250mL SF 0.9%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*Não pode ser misturada com outras drogas. * NÃO EXCEDER 1mg/ml. *Com penicilinas ou cefalosporinas: adm com intervalo de 1 hora</w:t>
            </w:r>
          </w:p>
        </w:tc>
      </w:tr>
      <w:tr w:rsidR="002F7A13" w:rsidTr="002F7A13">
        <w:tc>
          <w:tcPr>
            <w:tcW w:w="166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bCs/>
                <w:sz w:val="16"/>
                <w:szCs w:val="16"/>
              </w:rPr>
              <w:t>Gluconato Cálcio 10% 10mL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Bolus: 3 min. IV Infusão: 1,5-2mL/min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Bolus IV Infusão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Bolus: Sem diluição IV Infusão: 50mL SF 0.9% ou 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Descartar</w:t>
            </w:r>
          </w:p>
        </w:tc>
        <w:tc>
          <w:tcPr>
            <w:tcW w:w="246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*Não é recomendado o uso IM por necrose local. *Incompatível com Bicarbonato de Sódio.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bCs/>
                <w:sz w:val="16"/>
                <w:szCs w:val="16"/>
              </w:rPr>
              <w:t>Haldol 5mg/mL (Haloperidol)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IV: 3 min IV Infusão: 30 min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direto IV Infusão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IV: 5mg/10 mL SG5% IV Infusão:5mg/50 mL SG5%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* Haloperido decanoato: só pode ser IM . O uso Haloperidol Lactato EV pode causar arritmia cardíaca.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bCs/>
                <w:sz w:val="16"/>
                <w:szCs w:val="16"/>
              </w:rPr>
              <w:t>Hidantal 250mg/5mL (Fenitoína)</w:t>
            </w:r>
          </w:p>
        </w:tc>
        <w:tc>
          <w:tcPr>
            <w:tcW w:w="1701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velocidade de infusão: 50mg/min (máximo de 20mg/min)</w:t>
            </w:r>
          </w:p>
        </w:tc>
        <w:tc>
          <w:tcPr>
            <w:tcW w:w="1559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IV Bolus</w:t>
            </w:r>
          </w:p>
        </w:tc>
        <w:tc>
          <w:tcPr>
            <w:tcW w:w="1843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8B4A9B">
              <w:rPr>
                <w:sz w:val="16"/>
                <w:szCs w:val="16"/>
                <w:lang w:val="en-US"/>
              </w:rPr>
              <w:t>250mg/50 mL SF0,9%</w:t>
            </w:r>
          </w:p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8B4A9B">
              <w:rPr>
                <w:sz w:val="16"/>
                <w:szCs w:val="16"/>
                <w:lang w:val="en-US"/>
              </w:rPr>
              <w:t>250mg/20 mL AD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TA:4h Não refrigerar</w:t>
            </w:r>
          </w:p>
        </w:tc>
        <w:tc>
          <w:tcPr>
            <w:tcW w:w="1676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8B4A9B" w:rsidRDefault="002F7A13" w:rsidP="002F7A13">
            <w:pPr>
              <w:pStyle w:val="Default"/>
              <w:jc w:val="center"/>
              <w:rPr>
                <w:sz w:val="11"/>
                <w:szCs w:val="11"/>
              </w:rPr>
            </w:pPr>
            <w:r w:rsidRPr="008B4A9B">
              <w:rPr>
                <w:sz w:val="11"/>
                <w:szCs w:val="11"/>
              </w:rPr>
              <w:t>*SG5%: instável *É vesicante e instável em infusão (possibilidade de precipitação) * Não deve ser administrado em infusão IV (precipitação/ vesicante)</w:t>
            </w:r>
          </w:p>
          <w:p w:rsidR="002F7A13" w:rsidRPr="008B4A9B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8B4A9B">
              <w:rPr>
                <w:sz w:val="11"/>
                <w:szCs w:val="11"/>
              </w:rPr>
              <w:t>*IM – dolorida e absorção errática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bCs/>
                <w:sz w:val="16"/>
                <w:szCs w:val="16"/>
              </w:rPr>
              <w:t>Insulinas (Regular e Lispro)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SC ou IV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SC não diluir</w:t>
            </w:r>
          </w:p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IV: 1:1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6 horas TA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30 dias sob refrigeração</w:t>
            </w:r>
          </w:p>
        </w:tc>
        <w:tc>
          <w:tcPr>
            <w:tcW w:w="2458" w:type="dxa"/>
            <w:vAlign w:val="center"/>
          </w:tcPr>
          <w:p w:rsidR="002F7A13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F7A13" w:rsidRPr="00EC526A" w:rsidRDefault="002F7A13" w:rsidP="002F7A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636978">
              <w:rPr>
                <w:bCs/>
                <w:sz w:val="16"/>
                <w:szCs w:val="16"/>
                <w:lang w:val="en-US"/>
              </w:rPr>
              <w:t xml:space="preserve">Kanakion IV </w:t>
            </w:r>
            <w:r w:rsidRPr="00636978">
              <w:rPr>
                <w:bCs/>
                <w:sz w:val="16"/>
                <w:szCs w:val="16"/>
                <w:lang w:val="en-US"/>
              </w:rPr>
              <w:lastRenderedPageBreak/>
              <w:t>2mg/0,2mL Kanakion IV 10mg/mL (Fitomenadiona)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10mg/mL: IV</w:t>
            </w:r>
          </w:p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lastRenderedPageBreak/>
              <w:t>2mg/0,2mL: IV e IM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lastRenderedPageBreak/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 xml:space="preserve">* É contra-indicado a </w:t>
            </w:r>
            <w:r w:rsidRPr="00636978">
              <w:rPr>
                <w:sz w:val="16"/>
                <w:szCs w:val="16"/>
              </w:rPr>
              <w:lastRenderedPageBreak/>
              <w:t>administração de 10mg/ml IV em crianças menores de 1 ano.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bCs/>
                <w:sz w:val="16"/>
                <w:szCs w:val="16"/>
              </w:rPr>
              <w:lastRenderedPageBreak/>
              <w:t>Kefazol 1g (Cefazolina)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 lento: 3 a 5 min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1g/10 mL AD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 direto IM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IV: 1g/10mL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Refrigeração: 24h TA:24h</w:t>
            </w:r>
          </w:p>
        </w:tc>
        <w:tc>
          <w:tcPr>
            <w:tcW w:w="245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*Em T A solução concentrada torna-se escura. *Sob refrigeração pode ocorrer formação de precipitado que desaparece quando ambientado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Keflin 1g (Cefalotina)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 lento: 3 a 5 min IV infusão: 30 minutos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636978">
              <w:rPr>
                <w:sz w:val="16"/>
                <w:szCs w:val="16"/>
                <w:lang w:val="en-US"/>
              </w:rPr>
              <w:t>IV: 10mL AD IM: 4 mL AD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IM IV Bolus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1g/10mL AD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Refrigeração:7dias TA:12h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Refrigeração:96h TA:12h</w:t>
            </w:r>
          </w:p>
        </w:tc>
        <w:tc>
          <w:tcPr>
            <w:tcW w:w="245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*Em T A solução concentrada torna-se escura. *Sob refrigeração pode ocorrer formação de precipitado que desaparece quando ambientado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Ketamin S 50mg/mL 2mL (Cetamina)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 min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Bolus, IM e SC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Geralmente 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24 horas TA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</w:p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 A ampola pode ser administrada VO</w:t>
            </w:r>
          </w:p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Klaricid 500mg (Claritromicina)</w:t>
            </w:r>
          </w:p>
        </w:tc>
        <w:tc>
          <w:tcPr>
            <w:tcW w:w="1701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1h</w:t>
            </w:r>
          </w:p>
        </w:tc>
        <w:tc>
          <w:tcPr>
            <w:tcW w:w="1559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500mg/10 mL AD</w:t>
            </w:r>
          </w:p>
        </w:tc>
        <w:tc>
          <w:tcPr>
            <w:tcW w:w="1417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100mL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TA:6h Refrigeraçâo:24h</w:t>
            </w:r>
          </w:p>
        </w:tc>
        <w:tc>
          <w:tcPr>
            <w:tcW w:w="1676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636978">
              <w:rPr>
                <w:sz w:val="16"/>
                <w:szCs w:val="16"/>
              </w:rPr>
              <w:t>Refrigeração:24h</w:t>
            </w:r>
          </w:p>
        </w:tc>
        <w:tc>
          <w:tcPr>
            <w:tcW w:w="2458" w:type="dxa"/>
            <w:vAlign w:val="center"/>
          </w:tcPr>
          <w:p w:rsidR="002F7A13" w:rsidRPr="00636978" w:rsidRDefault="002F7A13" w:rsidP="002F7A13">
            <w:pPr>
              <w:pStyle w:val="Default"/>
              <w:jc w:val="center"/>
              <w:rPr>
                <w:sz w:val="12"/>
                <w:szCs w:val="12"/>
              </w:rPr>
            </w:pPr>
            <w:r w:rsidRPr="00636978">
              <w:rPr>
                <w:sz w:val="12"/>
                <w:szCs w:val="12"/>
              </w:rPr>
              <w:t>* Reconstituição somente em AD (nçao reconstituir com SF 0,9% ou agua bacteriostática) *não administrar IV bolus ou IM.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Default="002F7A13" w:rsidP="002F7A13">
            <w:pPr>
              <w:pStyle w:val="Default"/>
              <w:jc w:val="center"/>
              <w:rPr>
                <w:bCs/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 xml:space="preserve">Lasix 20mg/2mL </w:t>
            </w:r>
          </w:p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(Furosemida)</w:t>
            </w:r>
          </w:p>
        </w:tc>
        <w:tc>
          <w:tcPr>
            <w:tcW w:w="1701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IV: 3 min IV Infusão: taxa de infusão máxima 4mg/min</w:t>
            </w:r>
          </w:p>
        </w:tc>
        <w:tc>
          <w:tcPr>
            <w:tcW w:w="1559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IM IV direto IV infusão</w:t>
            </w:r>
          </w:p>
        </w:tc>
        <w:tc>
          <w:tcPr>
            <w:tcW w:w="1843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IM e IV direto: sem diluição IV Infusão: 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1C73A7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1C73A7" w:rsidRDefault="002F7A13" w:rsidP="002F7A13">
            <w:pPr>
              <w:pStyle w:val="Default"/>
              <w:jc w:val="center"/>
              <w:rPr>
                <w:sz w:val="13"/>
                <w:szCs w:val="13"/>
              </w:rPr>
            </w:pPr>
            <w:r w:rsidRPr="001C73A7">
              <w:rPr>
                <w:sz w:val="13"/>
                <w:szCs w:val="13"/>
              </w:rPr>
              <w:t>*Proteger da luz a solução na concentração de 1mg/mL ou mais (usar equipo foto). *Não refrigerar por possivel precipitação *Concentração máxima: 10mg/mL. *Descartar se solução com coloração amarela.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5.000UI/mL</w:t>
            </w:r>
          </w:p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(Heparina)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Bolus: acima</w:t>
            </w:r>
          </w:p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Infusão: 24 horas ou ACM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Bolus e IV contínua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Diluição 1:10 ou 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TA=24hs. Refrigeração=24hs.</w:t>
            </w:r>
          </w:p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Ambos em recipientes plásticos.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-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Losec (Omeprazol 40mg)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Lento: 2-4 min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40mg/10 mL do diluente próprio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Direto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TA:4h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* Não diluir após reconstituição. *Administração por infusão não é recomendada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Meronen 1g Meronen 500mg (Meropenem)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Direto: 3 - 5min IV Infusão: 15-30 min.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DA4E2F">
              <w:rPr>
                <w:sz w:val="16"/>
                <w:szCs w:val="16"/>
                <w:lang w:val="en-US"/>
              </w:rPr>
              <w:t>1g/ 20mL AD 500mg/10mL AD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Direto IV Infusão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Infusão: 500mg/50mL SF0,9% -1g/100mL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TA:10h Refrigeração:24h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TA:8h Refrigeração:24h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*Não adicionar à soluções contendo outras drogas. *No caso de infusão IV não exceder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Narcan 0,4mg/mL (Naloxona)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SC IM IV Bolus IV Infusão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Bolus: sem diluição IV infusão: 0,4mg/100mL SF 0,9% ou SG5%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*Antídoto para Opióides: Morfina e Fentanil.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>Nausedron 4 e 8mg (Ondasetron)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15 a 30min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4-8mg/50 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NÃO ADMINISTRAR SEM DILUIR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t xml:space="preserve">Nipride 50mg (Nitroprussiato de </w:t>
            </w:r>
            <w:r w:rsidRPr="00DA4E2F">
              <w:rPr>
                <w:bCs/>
                <w:sz w:val="16"/>
                <w:szCs w:val="16"/>
              </w:rPr>
              <w:lastRenderedPageBreak/>
              <w:t>Sódio)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lastRenderedPageBreak/>
              <w:t>ACM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50mg/2 mL SG5%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50mg/250mL SG5%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 xml:space="preserve">* Pode ser diluido em SF0,9% porém o diluente preferencial é </w:t>
            </w:r>
            <w:r w:rsidRPr="00DA4E2F">
              <w:rPr>
                <w:sz w:val="16"/>
                <w:szCs w:val="16"/>
              </w:rPr>
              <w:lastRenderedPageBreak/>
              <w:t>SG5%. *Proteger a solução da luz.Não utilizar equipo e extensor foto.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bCs/>
                <w:sz w:val="16"/>
                <w:szCs w:val="16"/>
              </w:rPr>
              <w:lastRenderedPageBreak/>
              <w:t>Noripurum 20mg/mL - 5mL FerroIII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100ml /15 min 200ml / 30 min 300ml / 1,5 h IV bolus: 5 min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Bolus IV Infusão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Infusão (cada 1mL em 20mL SF 0,9%)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*Não exceder a dose de 10 ml por injeção. *Diluído exclusivamente em SF 0,9%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Novalgina 500mg/mL (Dipirona)</w:t>
            </w:r>
          </w:p>
        </w:tc>
        <w:tc>
          <w:tcPr>
            <w:tcW w:w="1701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3 min</w:t>
            </w:r>
          </w:p>
        </w:tc>
        <w:tc>
          <w:tcPr>
            <w:tcW w:w="1559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IV Direto</w:t>
            </w:r>
          </w:p>
        </w:tc>
        <w:tc>
          <w:tcPr>
            <w:tcW w:w="1843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500mg/20mL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DA4E2F">
              <w:rPr>
                <w:sz w:val="16"/>
                <w:szCs w:val="16"/>
              </w:rPr>
              <w:t>* A diluição diminui irritação venosa, porém pode ser administrado sem diluir. *Não misturar com outros medicamentos na mesma seringa.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Pavulon 2mg/mL (Pancurônio)</w:t>
            </w:r>
          </w:p>
        </w:tc>
        <w:tc>
          <w:tcPr>
            <w:tcW w:w="1701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Bolus IV Infusão</w:t>
            </w:r>
          </w:p>
        </w:tc>
        <w:tc>
          <w:tcPr>
            <w:tcW w:w="1843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TA:48h</w:t>
            </w:r>
          </w:p>
        </w:tc>
        <w:tc>
          <w:tcPr>
            <w:tcW w:w="1676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*Não é necessário proteger da luz. *incompativel com diazepam - mesmo em administração em "Y".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Penicilina Potássica 5.000.000 UI</w:t>
            </w:r>
          </w:p>
        </w:tc>
        <w:tc>
          <w:tcPr>
            <w:tcW w:w="1701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1 hora</w:t>
            </w:r>
          </w:p>
        </w:tc>
        <w:tc>
          <w:tcPr>
            <w:tcW w:w="1559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3440DA">
              <w:rPr>
                <w:sz w:val="16"/>
                <w:szCs w:val="16"/>
                <w:lang w:val="en-US"/>
              </w:rPr>
              <w:t>8 mL AD (10 mL volume final)</w:t>
            </w:r>
          </w:p>
        </w:tc>
        <w:tc>
          <w:tcPr>
            <w:tcW w:w="1417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100 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Refrigeração: 7 dias</w:t>
            </w:r>
          </w:p>
        </w:tc>
        <w:tc>
          <w:tcPr>
            <w:tcW w:w="245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*Aminoglicosídeos e cefalosporinas:administrar com intervalo de 1 hora (interação).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Plasil 10mg/2mL (Metoclopramida)</w:t>
            </w:r>
          </w:p>
        </w:tc>
        <w:tc>
          <w:tcPr>
            <w:tcW w:w="1701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1 minuto</w:t>
            </w:r>
          </w:p>
        </w:tc>
        <w:tc>
          <w:tcPr>
            <w:tcW w:w="1559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Bolus IM</w:t>
            </w:r>
          </w:p>
        </w:tc>
        <w:tc>
          <w:tcPr>
            <w:tcW w:w="1843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TA:24h</w:t>
            </w:r>
          </w:p>
        </w:tc>
        <w:tc>
          <w:tcPr>
            <w:tcW w:w="1676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*Se reação: Diluir em 8mL de SF *Altas doses: Diluir em 50mL de SF.Infundir em 15 minutos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Plamet 10mg/2mL (Bromoprida)</w:t>
            </w:r>
          </w:p>
        </w:tc>
        <w:tc>
          <w:tcPr>
            <w:tcW w:w="1701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lento</w:t>
            </w:r>
          </w:p>
        </w:tc>
        <w:tc>
          <w:tcPr>
            <w:tcW w:w="1559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Já vem diluído</w:t>
            </w:r>
          </w:p>
        </w:tc>
        <w:tc>
          <w:tcPr>
            <w:tcW w:w="1417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IM</w:t>
            </w:r>
          </w:p>
        </w:tc>
        <w:tc>
          <w:tcPr>
            <w:tcW w:w="1843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SF 0,9% ou SG 5%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-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>Rocefin 1g (Ceftriaxona)</w:t>
            </w:r>
          </w:p>
        </w:tc>
        <w:tc>
          <w:tcPr>
            <w:tcW w:w="1701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30 minutos</w:t>
            </w:r>
          </w:p>
        </w:tc>
        <w:tc>
          <w:tcPr>
            <w:tcW w:w="1559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1g/10 mL AD</w:t>
            </w:r>
          </w:p>
        </w:tc>
        <w:tc>
          <w:tcPr>
            <w:tcW w:w="1417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IV Infusão: 1g/100mL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TA:24h Refrigerado: 3 dias</w:t>
            </w:r>
          </w:p>
        </w:tc>
        <w:tc>
          <w:tcPr>
            <w:tcW w:w="2458" w:type="dxa"/>
            <w:vAlign w:val="center"/>
          </w:tcPr>
          <w:p w:rsidR="002F7A13" w:rsidRPr="003440D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>*Nefrotoxicidade: não administrar junto c/ aminoglicosídeos. *Não misturar ou administrar com soluções com cálcio. *Há uma apresentação específica para uso IM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bCs/>
                <w:sz w:val="16"/>
                <w:szCs w:val="16"/>
              </w:rPr>
              <w:t xml:space="preserve">Seloken 5mg/5mL (Tartarato Metoprolol) </w:t>
            </w:r>
          </w:p>
        </w:tc>
        <w:tc>
          <w:tcPr>
            <w:tcW w:w="1701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1 min </w:t>
            </w:r>
          </w:p>
        </w:tc>
        <w:tc>
          <w:tcPr>
            <w:tcW w:w="1559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Já vem em solução </w:t>
            </w:r>
          </w:p>
        </w:tc>
        <w:tc>
          <w:tcPr>
            <w:tcW w:w="1417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IV ou Bolus </w:t>
            </w:r>
          </w:p>
        </w:tc>
        <w:tc>
          <w:tcPr>
            <w:tcW w:w="1843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Sem diluição </w:t>
            </w:r>
          </w:p>
        </w:tc>
        <w:tc>
          <w:tcPr>
            <w:tcW w:w="3285" w:type="dxa"/>
            <w:gridSpan w:val="2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12 horas TA </w:t>
            </w:r>
          </w:p>
        </w:tc>
        <w:tc>
          <w:tcPr>
            <w:tcW w:w="1676" w:type="dxa"/>
          </w:tcPr>
          <w:p w:rsidR="002F7A13" w:rsidRPr="003440DA" w:rsidRDefault="002F7A13" w:rsidP="002F7A13">
            <w:pPr>
              <w:pStyle w:val="Default"/>
              <w:rPr>
                <w:sz w:val="16"/>
                <w:szCs w:val="16"/>
              </w:rPr>
            </w:pPr>
            <w:r w:rsidRPr="003440DA">
              <w:rPr>
                <w:sz w:val="16"/>
                <w:szCs w:val="16"/>
              </w:rPr>
              <w:t xml:space="preserve">Em seringa: 6 horas </w:t>
            </w:r>
          </w:p>
        </w:tc>
        <w:tc>
          <w:tcPr>
            <w:tcW w:w="2458" w:type="dxa"/>
            <w:vAlign w:val="center"/>
          </w:tcPr>
          <w:p w:rsidR="002F7A13" w:rsidRPr="00DA4E2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9F6F9F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9F6F9F">
              <w:rPr>
                <w:bCs/>
                <w:sz w:val="16"/>
                <w:szCs w:val="16"/>
              </w:rPr>
              <w:t>Solu cortef (Hidrocortisona)</w:t>
            </w:r>
          </w:p>
        </w:tc>
        <w:tc>
          <w:tcPr>
            <w:tcW w:w="1701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IV bolus: 50mg/mL em 30 segundos IV Infusão: 1mg/mL em 20-30min</w:t>
            </w:r>
          </w:p>
        </w:tc>
        <w:tc>
          <w:tcPr>
            <w:tcW w:w="1559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4 mL AD</w:t>
            </w:r>
          </w:p>
        </w:tc>
        <w:tc>
          <w:tcPr>
            <w:tcW w:w="1417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IM IV bolus: 50mg/mL em 30 segundos IV Infusão: 1mg/mL em 20-30min</w:t>
            </w:r>
          </w:p>
        </w:tc>
        <w:tc>
          <w:tcPr>
            <w:tcW w:w="1843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2"/>
                <w:szCs w:val="12"/>
              </w:rPr>
            </w:pPr>
            <w:r w:rsidRPr="005913CA">
              <w:rPr>
                <w:sz w:val="12"/>
                <w:szCs w:val="12"/>
              </w:rPr>
              <w:t>Geralmente não excedem 1mg/mL em infusão. Quando necessário administrar em pequeno volume, 100-3000mg pode ser adicionadas a 50mL SF 0,9% ou SG5% (estabilidadde 4h)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TA: 72h</w:t>
            </w:r>
          </w:p>
        </w:tc>
        <w:tc>
          <w:tcPr>
            <w:tcW w:w="1676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TA: 72h</w:t>
            </w:r>
          </w:p>
        </w:tc>
        <w:tc>
          <w:tcPr>
            <w:tcW w:w="2458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5913CA">
              <w:rPr>
                <w:sz w:val="16"/>
                <w:szCs w:val="16"/>
              </w:rPr>
              <w:t>*Diluição e tempo de administração: ACM</w:t>
            </w:r>
          </w:p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Solu medrol 125mg (Metilprednisolona)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3 minutos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 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EV/direto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48h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TA:48h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Doses &gt; 500 mg</w:t>
            </w:r>
          </w:p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Infundir em 1hora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Solu medrol 500mg (Metilprednisolona)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15-60 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4 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500mg/200 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TA:48h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TA:48h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 xml:space="preserve">*Não é necessário proteger da luz. *incompativel com diazepam - mesmo em </w:t>
            </w:r>
            <w:r w:rsidRPr="00C41587">
              <w:rPr>
                <w:sz w:val="16"/>
                <w:szCs w:val="16"/>
              </w:rPr>
              <w:lastRenderedPageBreak/>
              <w:t>administração em "Y".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lastRenderedPageBreak/>
              <w:t>Staficilin 500mg (Oxacilina)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30-60min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5 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500mg-4g / 100 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72h Refrigeração:7 dias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*Concentração máxima: 40mg/mL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Tavanic 5mg/mL (bolsa 100mL) (Levofloxacina)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500mg: 60min 750mg:90min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Após ruptura do lacre pelo equipo: 3h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após ruptura do lacre pelo equipo: 3h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*Bolsa sem a capa externa é válida por 3 dias;</w:t>
            </w:r>
          </w:p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*evitar administração na mesma linha com calcio e magnesio *incompativel com manitol e bicarbonato de sódio;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Tazocin 4,5g (Piperacilina + Tazobactam)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Padrão HMD: 4h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4,5g/20mL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4,5g/100 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TA:24h Refrigeração: 24h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Refrigeração: 48h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 Não administrar junto com outros medicamentos * Incompatível com bicarbonato de sódio.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Terbutil 0,5 mg/mL (Terbutalina)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20 - 30 gts/min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SC 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0,5mg/100mL SG5% ou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12h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Não armazenar ou reutilizar o produto após aberto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*Não deve ser diluído em soluções alcalinas.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Thipentax 0,5g (Tiopental sódico)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20mL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ACM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24 horas TA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3 dias</w:t>
            </w:r>
          </w:p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Refrigeração:7 dias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*A injeção IV rápida pode causar hipotensão arterial.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Tiamina 100mg/mL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30 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100mL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24 horas TA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5913CA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Tilatil 20mg (Tenoxicam)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3 minutos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20mg/2 mL AD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bolus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20mg/2mL AD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Não recomendado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TA: 24h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*Se ocorrer precipitação, desprezar e preparar novamente. * Uso imediato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Tienam 500mg (Imipenem + cilastatina)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dose &lt; ou = 500mg: 15 a 30 min dose&gt; 500mg: 40 a 60 min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apresentação monovial (soro passa para dentro do frasco)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500mg-1g/100 -250 mL SF0,9%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Bolsa: 24 horas refri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Bolsa: 24 horas refri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*IV direto: não recomendado. *Não ultrapassar a concentração de 5mg/ml. *Somente a formulação IV pode ser administrada IV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bCs/>
                <w:sz w:val="16"/>
                <w:szCs w:val="16"/>
              </w:rPr>
              <w:t>Tracrium 25mg/2,5mL (Atracúrio)</w:t>
            </w:r>
          </w:p>
        </w:tc>
        <w:tc>
          <w:tcPr>
            <w:tcW w:w="1701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Bolus: 1 min e infusão: 24 horas</w:t>
            </w:r>
          </w:p>
        </w:tc>
        <w:tc>
          <w:tcPr>
            <w:tcW w:w="1559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IV bolus ou IV contínua</w:t>
            </w:r>
          </w:p>
        </w:tc>
        <w:tc>
          <w:tcPr>
            <w:tcW w:w="1843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Bolus: sem diluição</w:t>
            </w:r>
          </w:p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Infusão: 100mL de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24 horas TA ou sob refrigeração</w:t>
            </w:r>
          </w:p>
        </w:tc>
        <w:tc>
          <w:tcPr>
            <w:tcW w:w="1676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41587">
              <w:rPr>
                <w:sz w:val="16"/>
                <w:szCs w:val="16"/>
              </w:rPr>
              <w:t>*Não administrar IM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bCs/>
                <w:sz w:val="16"/>
                <w:szCs w:val="16"/>
              </w:rPr>
              <w:t>Tramal 100mg/2mL (Tramadol)</w:t>
            </w:r>
          </w:p>
        </w:tc>
        <w:tc>
          <w:tcPr>
            <w:tcW w:w="1701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15-30min</w:t>
            </w:r>
          </w:p>
        </w:tc>
        <w:tc>
          <w:tcPr>
            <w:tcW w:w="1559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Já vem em solução (ampola)</w:t>
            </w:r>
          </w:p>
        </w:tc>
        <w:tc>
          <w:tcPr>
            <w:tcW w:w="1417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IM IV infusão lenta ou gotejamento</w:t>
            </w:r>
          </w:p>
        </w:tc>
        <w:tc>
          <w:tcPr>
            <w:tcW w:w="1843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100mg/100mL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*Não exceder 400mg diárias. * Via “subcutanea” não é descrita na literatura e nem na bula do produto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bCs/>
                <w:sz w:val="16"/>
                <w:szCs w:val="16"/>
              </w:rPr>
              <w:t>Transamin 5mL (Ác. Tranexâmico)</w:t>
            </w:r>
          </w:p>
        </w:tc>
        <w:tc>
          <w:tcPr>
            <w:tcW w:w="1701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IV direto: 1mL/min IV infusão: 15 min</w:t>
            </w:r>
          </w:p>
        </w:tc>
        <w:tc>
          <w:tcPr>
            <w:tcW w:w="1559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Já vem em solução (ampola)</w:t>
            </w:r>
          </w:p>
        </w:tc>
        <w:tc>
          <w:tcPr>
            <w:tcW w:w="1417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5mL/50-250mL 100 mL de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*Não administrar com penicilinas *Diluir em SF 0,9% ou SG5% até concentração de 25-50mg/Kg/dia. *em casos graves: até 10 ampolas por diluição.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bCs/>
                <w:sz w:val="16"/>
                <w:szCs w:val="16"/>
              </w:rPr>
              <w:t>Tridil 50mg/10ml (Nitroglicerina)</w:t>
            </w:r>
          </w:p>
        </w:tc>
        <w:tc>
          <w:tcPr>
            <w:tcW w:w="1701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ACM</w:t>
            </w:r>
          </w:p>
        </w:tc>
        <w:tc>
          <w:tcPr>
            <w:tcW w:w="1559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Infusão contínua</w:t>
            </w:r>
          </w:p>
        </w:tc>
        <w:tc>
          <w:tcPr>
            <w:tcW w:w="1843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100mg/250mL SG 5% Concentração máx.: 0,40 mg/mL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Frasco rígido: TA:48h Refrigeração:7 dias</w:t>
            </w:r>
          </w:p>
        </w:tc>
        <w:tc>
          <w:tcPr>
            <w:tcW w:w="1676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*Não administrar EV direto * A concentração não deve exceder 400mcg/ml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bCs/>
                <w:sz w:val="16"/>
                <w:szCs w:val="16"/>
              </w:rPr>
              <w:t xml:space="preserve">Unasyn 3g (Ampicilina + </w:t>
            </w:r>
            <w:r w:rsidRPr="00325664">
              <w:rPr>
                <w:bCs/>
                <w:sz w:val="16"/>
                <w:szCs w:val="16"/>
              </w:rPr>
              <w:lastRenderedPageBreak/>
              <w:t>Sulbactam)</w:t>
            </w:r>
          </w:p>
        </w:tc>
        <w:tc>
          <w:tcPr>
            <w:tcW w:w="1701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lastRenderedPageBreak/>
              <w:t>IV: 15 a 30 min IM: 10-15 min</w:t>
            </w:r>
          </w:p>
        </w:tc>
        <w:tc>
          <w:tcPr>
            <w:tcW w:w="1559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 xml:space="preserve">IM:6,4 mL AD (250mg ampi </w:t>
            </w:r>
            <w:r w:rsidRPr="00325664">
              <w:rPr>
                <w:sz w:val="16"/>
                <w:szCs w:val="16"/>
              </w:rPr>
              <w:lastRenderedPageBreak/>
              <w:t>+125mg sulbactam) IV: 10mL AD</w:t>
            </w:r>
          </w:p>
        </w:tc>
        <w:tc>
          <w:tcPr>
            <w:tcW w:w="1417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lastRenderedPageBreak/>
              <w:t>IM IV Infusão</w:t>
            </w:r>
          </w:p>
        </w:tc>
        <w:tc>
          <w:tcPr>
            <w:tcW w:w="1843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 xml:space="preserve">IM: 6,4mL AD IV infusão: 3g/100mL SF </w:t>
            </w:r>
            <w:r w:rsidRPr="00325664">
              <w:rPr>
                <w:sz w:val="16"/>
                <w:szCs w:val="16"/>
              </w:rPr>
              <w:lastRenderedPageBreak/>
              <w:t>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lastRenderedPageBreak/>
              <w:t>Refrigeração: 72h (SF 0,9%) e 4h (SG5%)</w:t>
            </w:r>
          </w:p>
        </w:tc>
        <w:tc>
          <w:tcPr>
            <w:tcW w:w="1676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>1h após reconstituição</w:t>
            </w:r>
          </w:p>
        </w:tc>
        <w:tc>
          <w:tcPr>
            <w:tcW w:w="2458" w:type="dxa"/>
            <w:vAlign w:val="center"/>
          </w:tcPr>
          <w:p w:rsidR="002F7A13" w:rsidRPr="00325664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325664">
              <w:rPr>
                <w:sz w:val="16"/>
                <w:szCs w:val="16"/>
              </w:rPr>
              <w:t xml:space="preserve">É mais estável quando diluido em SF 0,9%. *Incompativel </w:t>
            </w:r>
            <w:r w:rsidRPr="00325664">
              <w:rPr>
                <w:sz w:val="16"/>
                <w:szCs w:val="16"/>
              </w:rPr>
              <w:lastRenderedPageBreak/>
              <w:t>com gentamicina em administração em "Y". *para administração IM pode ser usado lidocaina 0,5% ou 2%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bCs/>
                <w:sz w:val="16"/>
                <w:szCs w:val="16"/>
              </w:rPr>
              <w:lastRenderedPageBreak/>
              <w:t>10mg/2mL (Diazepam)</w:t>
            </w:r>
          </w:p>
        </w:tc>
        <w:tc>
          <w:tcPr>
            <w:tcW w:w="1701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Bolus: 3 a 5 min.</w:t>
            </w:r>
          </w:p>
        </w:tc>
        <w:tc>
          <w:tcPr>
            <w:tcW w:w="1559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Já vem em solução (ampola)</w:t>
            </w:r>
          </w:p>
        </w:tc>
        <w:tc>
          <w:tcPr>
            <w:tcW w:w="1417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IM IV bolus (sem diluir) IV Infusão (não recomendado)</w:t>
            </w:r>
          </w:p>
        </w:tc>
        <w:tc>
          <w:tcPr>
            <w:tcW w:w="1843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-</w:t>
            </w:r>
          </w:p>
        </w:tc>
        <w:tc>
          <w:tcPr>
            <w:tcW w:w="1676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Em seringa: 6 horas TA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 Não administrar junto com outros medicamentos * Incompatível com bicarbonato de sódio.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bCs/>
                <w:sz w:val="16"/>
                <w:szCs w:val="16"/>
              </w:rPr>
              <w:t>Vancocina 500mg (Vancomicina)</w:t>
            </w:r>
          </w:p>
        </w:tc>
        <w:tc>
          <w:tcPr>
            <w:tcW w:w="1701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1 h</w:t>
            </w:r>
          </w:p>
        </w:tc>
        <w:tc>
          <w:tcPr>
            <w:tcW w:w="1559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500mg/10 mL AD</w:t>
            </w:r>
          </w:p>
        </w:tc>
        <w:tc>
          <w:tcPr>
            <w:tcW w:w="1417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IV Infusão</w:t>
            </w:r>
          </w:p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VO (500-100 mg/dia em doses divididas a cada 6 horas)</w:t>
            </w:r>
          </w:p>
        </w:tc>
        <w:tc>
          <w:tcPr>
            <w:tcW w:w="1843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  <w:lang w:val="en-US"/>
              </w:rPr>
            </w:pPr>
            <w:r w:rsidRPr="00C374D1">
              <w:rPr>
                <w:sz w:val="16"/>
                <w:szCs w:val="16"/>
                <w:lang w:val="en-US"/>
              </w:rPr>
              <w:t>500mg/100mL SF 0.9% 1g/250mL SF 0,9% 2g/500mL SF 0,9%</w:t>
            </w:r>
          </w:p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VO: reconstituir em 10mL de AD e diluir em 200mL de água potável.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Refrigeração:14 dias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*Não deve ser diluído em soluções alcalinas.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bCs/>
                <w:sz w:val="16"/>
                <w:szCs w:val="16"/>
              </w:rPr>
              <w:t>Vitamina C 1g/5mL</w:t>
            </w:r>
          </w:p>
        </w:tc>
        <w:tc>
          <w:tcPr>
            <w:tcW w:w="1701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15-30min</w:t>
            </w:r>
          </w:p>
        </w:tc>
        <w:tc>
          <w:tcPr>
            <w:tcW w:w="1559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IV Infusão IM SC</w:t>
            </w:r>
          </w:p>
        </w:tc>
        <w:tc>
          <w:tcPr>
            <w:tcW w:w="1843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1g/50mL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Descartar</w:t>
            </w:r>
          </w:p>
        </w:tc>
        <w:tc>
          <w:tcPr>
            <w:tcW w:w="1676" w:type="dxa"/>
            <w:vAlign w:val="center"/>
          </w:tcPr>
          <w:p w:rsidR="002F7A13" w:rsidRPr="00C374D1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C374D1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C41587" w:rsidRDefault="002F7A13" w:rsidP="002F7A13">
            <w:pPr>
              <w:pStyle w:val="Default"/>
              <w:jc w:val="center"/>
              <w:rPr>
                <w:sz w:val="15"/>
                <w:szCs w:val="15"/>
              </w:rPr>
            </w:pPr>
            <w:r w:rsidRPr="00C41587">
              <w:rPr>
                <w:sz w:val="15"/>
                <w:szCs w:val="15"/>
              </w:rPr>
              <w:t>*A injeção IV rápida pode causar hipotensão arterial.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bCs/>
                <w:sz w:val="16"/>
                <w:szCs w:val="16"/>
              </w:rPr>
              <w:t>Voltaren 75mg/3mL (Diclofenaco sódico)</w:t>
            </w:r>
          </w:p>
        </w:tc>
        <w:tc>
          <w:tcPr>
            <w:tcW w:w="1701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lento</w:t>
            </w:r>
          </w:p>
        </w:tc>
        <w:tc>
          <w:tcPr>
            <w:tcW w:w="1559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IM</w:t>
            </w:r>
          </w:p>
        </w:tc>
        <w:tc>
          <w:tcPr>
            <w:tcW w:w="1843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*Não aplicar IV por perigo de parada respiratória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bCs/>
                <w:sz w:val="16"/>
                <w:szCs w:val="16"/>
              </w:rPr>
              <w:t>Zoltec 2mg/mL- bolsa 100mL (Fluconazol)</w:t>
            </w:r>
          </w:p>
        </w:tc>
        <w:tc>
          <w:tcPr>
            <w:tcW w:w="1701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1-2h</w:t>
            </w:r>
          </w:p>
        </w:tc>
        <w:tc>
          <w:tcPr>
            <w:tcW w:w="1559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Sem diluição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x</w:t>
            </w:r>
          </w:p>
        </w:tc>
        <w:tc>
          <w:tcPr>
            <w:tcW w:w="1676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Sobras bolsa: 24 horas TA</w:t>
            </w:r>
          </w:p>
        </w:tc>
        <w:tc>
          <w:tcPr>
            <w:tcW w:w="245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* Proteger o frasco e as sobras com embalagem laminada. *Não utilizar se estiver turva. *Não exceder 10mL/min.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bCs/>
                <w:sz w:val="16"/>
                <w:szCs w:val="16"/>
              </w:rPr>
              <w:t>Zofran 8mg/4mL (Ondasetron)</w:t>
            </w:r>
          </w:p>
        </w:tc>
        <w:tc>
          <w:tcPr>
            <w:tcW w:w="1701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15 a 30min</w:t>
            </w:r>
          </w:p>
        </w:tc>
        <w:tc>
          <w:tcPr>
            <w:tcW w:w="1559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Já vem em solução</w:t>
            </w:r>
          </w:p>
        </w:tc>
        <w:tc>
          <w:tcPr>
            <w:tcW w:w="1417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4-8mg/50ml SF 0,9%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TA:48h</w:t>
            </w:r>
          </w:p>
        </w:tc>
        <w:tc>
          <w:tcPr>
            <w:tcW w:w="1676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Descartar</w:t>
            </w:r>
          </w:p>
        </w:tc>
        <w:tc>
          <w:tcPr>
            <w:tcW w:w="245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* Proteger da luz para guardar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bCs/>
                <w:sz w:val="16"/>
                <w:szCs w:val="16"/>
              </w:rPr>
              <w:t>Zitromax IV 500mg (Azitromicina)</w:t>
            </w:r>
          </w:p>
        </w:tc>
        <w:tc>
          <w:tcPr>
            <w:tcW w:w="1701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 h</w:t>
            </w:r>
          </w:p>
        </w:tc>
        <w:tc>
          <w:tcPr>
            <w:tcW w:w="1559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4,8 mL AD</w:t>
            </w:r>
          </w:p>
        </w:tc>
        <w:tc>
          <w:tcPr>
            <w:tcW w:w="1417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IV Infusão</w:t>
            </w:r>
          </w:p>
        </w:tc>
        <w:tc>
          <w:tcPr>
            <w:tcW w:w="1843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500mg/250mL SF 0,9%, SG.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TA:24h Refrigeração:7 dias</w:t>
            </w:r>
          </w:p>
        </w:tc>
        <w:tc>
          <w:tcPr>
            <w:tcW w:w="245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* Não administrar em tempo inferior a 1h * A solução não pode ser mais concentrada que 2mg/mL</w:t>
            </w:r>
          </w:p>
        </w:tc>
      </w:tr>
      <w:tr w:rsidR="002F7A13" w:rsidTr="002F7A13">
        <w:trPr>
          <w:gridAfter w:val="1"/>
          <w:wAfter w:w="7" w:type="dxa"/>
        </w:trPr>
        <w:tc>
          <w:tcPr>
            <w:tcW w:w="166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bCs/>
                <w:sz w:val="16"/>
                <w:szCs w:val="16"/>
              </w:rPr>
              <w:t>Zovirax 250mg (Aciclovir)</w:t>
            </w:r>
          </w:p>
        </w:tc>
        <w:tc>
          <w:tcPr>
            <w:tcW w:w="1701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 h (manter a hidratação adequada do paciente - evitar lesão renal)</w:t>
            </w:r>
          </w:p>
        </w:tc>
        <w:tc>
          <w:tcPr>
            <w:tcW w:w="1559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10 mL de AD</w:t>
            </w:r>
          </w:p>
        </w:tc>
        <w:tc>
          <w:tcPr>
            <w:tcW w:w="1417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IV Infusão 250-500mg/100mL SF 0,9%</w:t>
            </w:r>
          </w:p>
        </w:tc>
        <w:tc>
          <w:tcPr>
            <w:tcW w:w="1843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100mL de SF 0,9% Não ultrapassar a concentração de 7mg/mL</w:t>
            </w:r>
          </w:p>
        </w:tc>
        <w:tc>
          <w:tcPr>
            <w:tcW w:w="3285" w:type="dxa"/>
            <w:gridSpan w:val="2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TA: 24h</w:t>
            </w:r>
          </w:p>
        </w:tc>
        <w:tc>
          <w:tcPr>
            <w:tcW w:w="1676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TA: 12h Não refrigerar soluções reconstituídas.</w:t>
            </w:r>
          </w:p>
        </w:tc>
        <w:tc>
          <w:tcPr>
            <w:tcW w:w="2458" w:type="dxa"/>
            <w:vAlign w:val="center"/>
          </w:tcPr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*A Solução não deve ser refrigerada, pode precipitar. *</w:t>
            </w:r>
          </w:p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  <w:r w:rsidRPr="00E56F92">
              <w:rPr>
                <w:sz w:val="16"/>
                <w:szCs w:val="16"/>
              </w:rPr>
              <w:t>Não ultrapassar a concentração de 7mg/mL, risco de flebite.</w:t>
            </w:r>
          </w:p>
          <w:p w:rsidR="002F7A13" w:rsidRPr="00E56F92" w:rsidRDefault="002F7A13" w:rsidP="002F7A13">
            <w:pPr>
              <w:pStyle w:val="Default"/>
              <w:jc w:val="center"/>
              <w:rPr>
                <w:sz w:val="16"/>
                <w:szCs w:val="16"/>
              </w:rPr>
            </w:pPr>
          </w:p>
        </w:tc>
      </w:tr>
    </w:tbl>
    <w:p w:rsidR="000874AF" w:rsidRDefault="000874AF"/>
    <w:sectPr w:rsidR="000874AF" w:rsidSect="00463A2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F35" w:rsidRDefault="00165F35" w:rsidP="00463A20">
      <w:r>
        <w:separator/>
      </w:r>
    </w:p>
  </w:endnote>
  <w:endnote w:type="continuationSeparator" w:id="0">
    <w:p w:rsidR="00165F35" w:rsidRDefault="00165F35" w:rsidP="0046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F35" w:rsidRDefault="00165F35" w:rsidP="00463A20">
      <w:r>
        <w:separator/>
      </w:r>
    </w:p>
  </w:footnote>
  <w:footnote w:type="continuationSeparator" w:id="0">
    <w:p w:rsidR="00165F35" w:rsidRDefault="00165F35" w:rsidP="0046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A20" w:rsidRPr="00463A20" w:rsidRDefault="00463A20" w:rsidP="00463A20">
    <w:pPr>
      <w:tabs>
        <w:tab w:val="left" w:pos="-567"/>
        <w:tab w:val="left" w:pos="5944"/>
      </w:tabs>
      <w:ind w:left="-567" w:right="4199"/>
      <w:jc w:val="center"/>
      <w:rPr>
        <w:rFonts w:ascii="Times New Roman" w:hAnsi="Times New Roman" w:cs="Times New Roman"/>
        <w:b/>
        <w:sz w:val="36"/>
        <w:szCs w:val="36"/>
      </w:rPr>
    </w:pPr>
    <w:r w:rsidRPr="00463A20">
      <w:rPr>
        <w:rFonts w:ascii="Times New Roman" w:hAnsi="Times New Roman" w:cs="Times New Roman"/>
        <w:b/>
        <w:noProof/>
        <w:sz w:val="36"/>
        <w:szCs w:val="36"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7181850</wp:posOffset>
          </wp:positionH>
          <wp:positionV relativeFrom="paragraph">
            <wp:posOffset>-125730</wp:posOffset>
          </wp:positionV>
          <wp:extent cx="2092960" cy="914400"/>
          <wp:effectExtent l="19050" t="0" r="2540" b="0"/>
          <wp:wrapNone/>
          <wp:docPr id="3" name="Imagem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2346" t="24786" r="30511" b="19367"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63A20">
      <w:rPr>
        <w:rFonts w:ascii="Times New Roman" w:hAnsi="Times New Roman" w:cs="Times New Roman"/>
        <w:b/>
        <w:noProof/>
        <w:sz w:val="36"/>
        <w:szCs w:val="36"/>
        <w:lang w:eastAsia="pt-BR"/>
      </w:rPr>
      <w:t>CCIH - Hospital Unimed Três Corações</w:t>
    </w:r>
  </w:p>
  <w:p w:rsidR="00463A20" w:rsidRPr="00463A20" w:rsidRDefault="00463A20" w:rsidP="00463A20">
    <w:pPr>
      <w:tabs>
        <w:tab w:val="left" w:pos="-567"/>
        <w:tab w:val="left" w:pos="5944"/>
      </w:tabs>
      <w:ind w:left="-567" w:right="4199"/>
      <w:jc w:val="center"/>
      <w:rPr>
        <w:rFonts w:ascii="Times New Roman" w:hAnsi="Times New Roman" w:cs="Times New Roman"/>
        <w:b/>
        <w:sz w:val="44"/>
        <w:szCs w:val="44"/>
      </w:rPr>
    </w:pPr>
    <w:r w:rsidRPr="00463A20">
      <w:rPr>
        <w:rFonts w:ascii="Times New Roman" w:hAnsi="Times New Roman" w:cs="Times New Roman"/>
        <w:b/>
        <w:sz w:val="28"/>
        <w:szCs w:val="28"/>
      </w:rPr>
      <w:t>PADRONIZAÇÃO DE DILUIÇÃO</w:t>
    </w:r>
  </w:p>
  <w:p w:rsidR="00463A20" w:rsidRDefault="00463A20" w:rsidP="00463A20">
    <w:pPr>
      <w:tabs>
        <w:tab w:val="left" w:pos="-567"/>
        <w:tab w:val="left" w:pos="5944"/>
      </w:tabs>
      <w:ind w:left="-567" w:right="4199"/>
      <w:jc w:val="center"/>
      <w:rPr>
        <w:rFonts w:ascii="Times New Roman" w:hAnsi="Times New Roman" w:cs="Times New Roman"/>
        <w:b/>
        <w:i/>
        <w:sz w:val="32"/>
        <w:szCs w:val="32"/>
      </w:rPr>
    </w:pPr>
    <w:r w:rsidRPr="004F1CA0">
      <w:rPr>
        <w:rFonts w:ascii="Times New Roman" w:hAnsi="Times New Roman" w:cs="Times New Roman"/>
        <w:b/>
        <w:i/>
        <w:sz w:val="32"/>
        <w:szCs w:val="32"/>
      </w:rPr>
      <w:t>Farmácia</w:t>
    </w:r>
  </w:p>
  <w:p w:rsidR="00463A20" w:rsidRDefault="00463A20" w:rsidP="00463A20">
    <w:pPr>
      <w:pStyle w:val="Cabealho"/>
      <w:ind w:right="4199"/>
      <w:jc w:val="center"/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</w:pPr>
    <w:r w:rsidRPr="00625BAA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>Rua Tenente Clóvis Neder, 333 - Alto Peró</w:t>
    </w:r>
    <w:r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 xml:space="preserve"> - </w:t>
    </w:r>
    <w:r w:rsidRPr="00625BAA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>Três Corações - MG</w:t>
    </w:r>
    <w:r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 xml:space="preserve"> / </w:t>
    </w:r>
    <w:r w:rsidRPr="00625BAA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>CEP: 37410.000</w:t>
    </w:r>
    <w:r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 xml:space="preserve"> /</w:t>
    </w:r>
  </w:p>
  <w:p w:rsidR="00463A20" w:rsidRDefault="00463A20" w:rsidP="00463A20">
    <w:pPr>
      <w:pStyle w:val="Cabealho"/>
      <w:ind w:right="4199"/>
      <w:jc w:val="center"/>
    </w:pPr>
    <w:r w:rsidRPr="00625BAA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>Telefone: 35 3239-6060</w:t>
    </w:r>
    <w:r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 xml:space="preserve"> / </w:t>
    </w:r>
    <w:r w:rsidRPr="00625BAA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 xml:space="preserve">CNPJ: </w:t>
    </w:r>
    <w:r w:rsidR="00C00A9B">
      <w:rPr>
        <w:rFonts w:ascii="Times New Roman" w:hAnsi="Times New Roman" w:cs="Times New Roman"/>
        <w:color w:val="5B5C65"/>
        <w:sz w:val="20"/>
        <w:szCs w:val="20"/>
        <w:shd w:val="clear" w:color="auto" w:fill="FFFFFF"/>
      </w:rPr>
      <w:t>42.855.999/0003-62</w:t>
    </w:r>
    <w:r w:rsidRPr="00625BAA">
      <w:rPr>
        <w:rFonts w:ascii="Times New Roman" w:hAnsi="Times New Roman" w:cs="Times New Roman"/>
        <w:color w:val="5B5C65"/>
        <w:sz w:val="20"/>
        <w:szCs w:val="2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20"/>
    <w:rsid w:val="000874AF"/>
    <w:rsid w:val="00165F35"/>
    <w:rsid w:val="001A65E6"/>
    <w:rsid w:val="002F7A13"/>
    <w:rsid w:val="003A054B"/>
    <w:rsid w:val="00463A20"/>
    <w:rsid w:val="004836D5"/>
    <w:rsid w:val="004B5155"/>
    <w:rsid w:val="00843AE2"/>
    <w:rsid w:val="0086045F"/>
    <w:rsid w:val="00860CE7"/>
    <w:rsid w:val="009B22A1"/>
    <w:rsid w:val="009C4AE0"/>
    <w:rsid w:val="00A452BF"/>
    <w:rsid w:val="00A965BB"/>
    <w:rsid w:val="00C00A9B"/>
    <w:rsid w:val="00C5656E"/>
    <w:rsid w:val="00ED28EA"/>
    <w:rsid w:val="00F03BA1"/>
    <w:rsid w:val="00F3256B"/>
    <w:rsid w:val="00F3333E"/>
    <w:rsid w:val="00F5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72A5D-A81E-41F8-829E-38702ACE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242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4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3A2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3A20"/>
  </w:style>
  <w:style w:type="paragraph" w:styleId="Rodap">
    <w:name w:val="footer"/>
    <w:basedOn w:val="Normal"/>
    <w:link w:val="RodapChar"/>
    <w:uiPriority w:val="99"/>
    <w:semiHidden/>
    <w:unhideWhenUsed/>
    <w:rsid w:val="00463A2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63A20"/>
  </w:style>
  <w:style w:type="table" w:styleId="Tabelacomgrade">
    <w:name w:val="Table Grid"/>
    <w:basedOn w:val="Tabelanormal"/>
    <w:uiPriority w:val="59"/>
    <w:rsid w:val="00463A20"/>
    <w:pPr>
      <w:ind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63A20"/>
    <w:pPr>
      <w:autoSpaceDE w:val="0"/>
      <w:autoSpaceDN w:val="0"/>
      <w:adjustRightInd w:val="0"/>
      <w:ind w:right="0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3270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farmacia</dc:creator>
  <cp:lastModifiedBy>administrator</cp:lastModifiedBy>
  <cp:revision>2</cp:revision>
  <dcterms:created xsi:type="dcterms:W3CDTF">2018-12-21T12:31:00Z</dcterms:created>
  <dcterms:modified xsi:type="dcterms:W3CDTF">2018-12-21T12:31:00Z</dcterms:modified>
</cp:coreProperties>
</file>